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51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原子结构</w:t>
      </w:r>
    </w:p>
    <w:p w14:paraId="60E1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玻尔的原子模型  能级</w:t>
      </w:r>
    </w:p>
    <w:p w14:paraId="6E4B30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1.玻尔的原子结构理论</w:t>
      </w:r>
    </w:p>
    <w:p w14:paraId="5546C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（1）轨道量子化</w:t>
      </w:r>
    </w:p>
    <w:p w14:paraId="17805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的（填“连续变化”或“量子化”）。</w:t>
      </w:r>
    </w:p>
    <w:p w14:paraId="1152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（2）定态</w:t>
      </w:r>
    </w:p>
    <w:p w14:paraId="7DE00B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定态</w:t>
      </w:r>
    </w:p>
    <w:p w14:paraId="23A4DF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电子在可能轨道上运动时</w:t>
      </w:r>
      <w:r>
        <w:rPr>
          <w:rFonts w:hint="eastAsia"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，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原子是稳定的</w:t>
      </w:r>
      <w:r>
        <w:rPr>
          <w:rFonts w:hint="eastAsia"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，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向外辐射能量</w:t>
      </w:r>
      <w:r>
        <w:rPr>
          <w:rFonts w:hint="eastAsia"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，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也不吸收能量</w:t>
      </w:r>
      <w:r>
        <w:rPr>
          <w:rFonts w:hint="eastAsia"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，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这些状态也称之为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。</w:t>
      </w:r>
    </w:p>
    <w:p w14:paraId="5E2955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②</w:t>
      </w:r>
      <w:r>
        <w:rPr>
          <w:rFonts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能级</w:t>
      </w:r>
      <w:r>
        <w:rPr>
          <w:rFonts w:hint="default" w:ascii="E-BZ" w:hAnsi="E-BZ" w:eastAsia="E-BZ" w:cs="E-BZ"/>
          <w:color w:val="000000"/>
          <w:kern w:val="0"/>
          <w:sz w:val="22"/>
          <w:szCs w:val="22"/>
          <w:lang w:val="en-US" w:eastAsia="zh-CN" w:bidi="ar"/>
        </w:rPr>
        <w:t>、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 xml:space="preserve">基态和激发态 </w:t>
      </w:r>
    </w:p>
    <w:p w14:paraId="2353E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根据玻尔理论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电子只能在特定轨道上运动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因此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原子的能量也只能取一系列特定的值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这些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的能量值叫作能级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能量最低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的状态称为基态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其他的状态叫作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激发态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E956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③量子数</w:t>
      </w:r>
    </w:p>
    <w:p w14:paraId="6D09F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电子以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的轨道半径绕核运动时，原子的能量用E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量子数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DF4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（3）频率条件</w:t>
      </w:r>
    </w:p>
    <w:p w14:paraId="3D430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当电子从能量较高的定态轨道（其能量记为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）跃迁到能量较低的定态轨道（能量记为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）时，会放出能量为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的光子，该光子的能量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，该式称为频率条件，又称辐射条件。</w:t>
      </w:r>
    </w:p>
    <w:p w14:paraId="486013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2.用玻尔的原子结构理论解释氢原子光谱</w:t>
      </w:r>
    </w:p>
    <w:p w14:paraId="1377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（1）氢原子能级图（如图所示）</w:t>
      </w:r>
    </w:p>
    <w:p w14:paraId="7FA3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957070" cy="1548765"/>
            <wp:effectExtent l="0" t="0" r="5080" b="1333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8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01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解释巴尔末公式</w:t>
      </w:r>
    </w:p>
    <w:p w14:paraId="69D70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巴</w:t>
      </w:r>
      <w:r>
        <w:rPr>
          <w:rFonts w:hint="eastAsia" w:ascii="Times New Roman" w:hAnsi="Times New Roman" w:cs="Times New Roman"/>
          <w:lang w:val="en-US" w:eastAsia="zh-CN"/>
        </w:rPr>
        <w:t>尔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定态轨道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和2；</w:t>
      </w:r>
    </w:p>
    <w:p w14:paraId="48190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（3）解释氢原子光谱的不连续性</w:t>
      </w:r>
    </w:p>
    <w:p w14:paraId="258B1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两能级差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的，因此原子的发射光谱只有一些分立的亮线。</w:t>
      </w:r>
    </w:p>
    <w:p w14:paraId="3BA1A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（4）解释不同原子具有不同的特征谱线</w:t>
      </w:r>
    </w:p>
    <w:p w14:paraId="0CC53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不同的原子具有不同的结构，能级各不相同，因此辐射（或吸收）的光子频率也不相同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C2728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玻尔原子结构理论的意义</w:t>
      </w:r>
    </w:p>
    <w:p w14:paraId="65519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（1）成功之处</w:t>
      </w:r>
    </w:p>
    <w:p w14:paraId="04507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量子概念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引入原子模型，提出了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定态和跃迁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氢原子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光谱的实验规律。</w:t>
      </w:r>
    </w:p>
    <w:p w14:paraId="3A51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（2）局限性</w:t>
      </w:r>
    </w:p>
    <w:p w14:paraId="08DC8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玻尔原子结构理论还不能解释谱线的强度和偏振情况。在解释有两个以上电子的原子的复杂光谱时也遇到了困难，这说明玻尔的理论是不完善的。</w:t>
      </w:r>
    </w:p>
    <w:p w14:paraId="3CB4BAEA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41CA9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E2DC4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B614B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65917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D5F01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732</Characters>
  <Lines>0</Lines>
  <Paragraphs>0</Paragraphs>
  <TotalTime>0</TotalTime>
  <ScaleCrop>false</ScaleCrop>
  <LinksUpToDate>false</LinksUpToDate>
  <CharactersWithSpaces>792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D726292B7BA8490592662E5A7A1E793A_13</vt:lpwstr>
  </property>
</Properties>
</file>